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省级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优秀毕业生</w:t>
      </w:r>
      <w:r>
        <w:rPr>
          <w:rFonts w:hint="eastAsia" w:ascii="仿宋" w:hAnsi="仿宋" w:eastAsia="仿宋"/>
          <w:b/>
          <w:sz w:val="32"/>
          <w:szCs w:val="32"/>
        </w:rPr>
        <w:t>打分标准</w:t>
      </w:r>
    </w:p>
    <w:p>
      <w:pPr>
        <w:spacing w:line="44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一、学业情况</w:t>
      </w:r>
    </w:p>
    <w:p>
      <w:pPr>
        <w:spacing w:line="400" w:lineRule="exact"/>
        <w:rPr>
          <w:rFonts w:hint="eastAsia" w:ascii="楷体" w:hAnsi="楷体" w:eastAsia="楷体"/>
          <w:color w:val="auto"/>
          <w:sz w:val="28"/>
          <w:szCs w:val="28"/>
        </w:rPr>
      </w:pPr>
      <w:r>
        <w:rPr>
          <w:rFonts w:hint="eastAsia" w:ascii="楷体" w:hAnsi="楷体" w:eastAsia="楷体"/>
          <w:color w:val="auto"/>
          <w:sz w:val="28"/>
          <w:szCs w:val="28"/>
        </w:rPr>
        <w:t>1</w:t>
      </w:r>
      <w:r>
        <w:rPr>
          <w:rFonts w:hint="eastAsia" w:ascii="楷体" w:hAnsi="楷体" w:eastAsia="楷体"/>
          <w:color w:val="auto"/>
          <w:sz w:val="28"/>
          <w:szCs w:val="28"/>
          <w:lang w:val="en-US" w:eastAsia="zh-CN"/>
        </w:rPr>
        <w:t>.</w:t>
      </w:r>
      <w:r>
        <w:rPr>
          <w:rFonts w:hint="eastAsia" w:ascii="楷体" w:hAnsi="楷体" w:eastAsia="楷体"/>
          <w:color w:val="auto"/>
          <w:sz w:val="28"/>
          <w:szCs w:val="28"/>
        </w:rPr>
        <w:t>学习成绩</w:t>
      </w:r>
      <w:bookmarkStart w:id="0" w:name="_GoBack"/>
      <w:bookmarkEnd w:id="0"/>
    </w:p>
    <w:p>
      <w:pPr>
        <w:spacing w:line="44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校特等奖学金：4分/次    校一等奖学金：3分/次</w:t>
      </w:r>
    </w:p>
    <w:p>
      <w:pPr>
        <w:spacing w:line="44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校二等奖学金：2分/次    校三等奖学金：1分/次</w:t>
      </w:r>
    </w:p>
    <w:p>
      <w:pPr>
        <w:spacing w:line="400" w:lineRule="exact"/>
        <w:rPr>
          <w:rFonts w:hint="default" w:ascii="楷体" w:hAnsi="楷体" w:eastAsia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color w:val="auto"/>
          <w:sz w:val="28"/>
          <w:szCs w:val="28"/>
        </w:rPr>
        <w:t>2</w:t>
      </w:r>
      <w:r>
        <w:rPr>
          <w:rFonts w:hint="eastAsia" w:ascii="楷体" w:hAnsi="楷体" w:eastAsia="楷体"/>
          <w:color w:val="auto"/>
          <w:sz w:val="28"/>
          <w:szCs w:val="28"/>
          <w:lang w:val="en-US" w:eastAsia="zh-CN"/>
        </w:rPr>
        <w:t>.专业技能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国家级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sz w:val="28"/>
          <w:szCs w:val="28"/>
        </w:rPr>
        <w:t>一等奖：5分/次 二等奖：4分/次  三等奖：3分/次</w:t>
      </w:r>
    </w:p>
    <w:p>
      <w:pPr>
        <w:spacing w:line="400" w:lineRule="exact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color w:val="auto"/>
          <w:sz w:val="28"/>
          <w:szCs w:val="28"/>
        </w:rPr>
        <w:t>省级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</w:rPr>
        <w:t>一等奖：4分/次  二等奖：3分/次  三等奖：2分/次</w:t>
      </w:r>
    </w:p>
    <w:p>
      <w:pPr>
        <w:spacing w:line="400" w:lineRule="exact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color w:val="auto"/>
          <w:sz w:val="28"/>
          <w:szCs w:val="28"/>
        </w:rPr>
        <w:t>市级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</w:rPr>
        <w:t>一等奖：3分/次  二等奖：2分/次  三等奖：1分/次</w:t>
      </w:r>
    </w:p>
    <w:p>
      <w:pPr>
        <w:spacing w:line="400" w:lineRule="exact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注：以上指</w:t>
      </w:r>
      <w:r>
        <w:rPr>
          <w:rFonts w:hint="eastAsia" w:ascii="仿宋" w:hAnsi="仿宋" w:eastAsia="仿宋"/>
          <w:color w:val="auto"/>
          <w:sz w:val="28"/>
          <w:szCs w:val="28"/>
        </w:rPr>
        <w:t>政府组织的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专业</w:t>
      </w:r>
      <w:r>
        <w:rPr>
          <w:rFonts w:hint="eastAsia" w:ascii="仿宋" w:hAnsi="仿宋" w:eastAsia="仿宋"/>
          <w:color w:val="auto"/>
          <w:sz w:val="28"/>
          <w:szCs w:val="28"/>
        </w:rPr>
        <w:t>技能竞赛，协会组织的参照市级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执行</w:t>
      </w:r>
      <w:r>
        <w:rPr>
          <w:rFonts w:hint="eastAsia" w:ascii="仿宋" w:hAnsi="仿宋" w:eastAsia="仿宋"/>
          <w:color w:val="auto"/>
          <w:sz w:val="28"/>
          <w:szCs w:val="28"/>
        </w:rPr>
        <w:t>；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同一年</w:t>
      </w:r>
      <w:r>
        <w:rPr>
          <w:rFonts w:hint="eastAsia" w:ascii="仿宋" w:hAnsi="仿宋" w:eastAsia="仿宋"/>
          <w:color w:val="auto"/>
          <w:sz w:val="28"/>
          <w:szCs w:val="28"/>
        </w:rPr>
        <w:t>同一类别技能竞赛不重复计算，只算最高档次。</w:t>
      </w:r>
    </w:p>
    <w:p>
      <w:pPr>
        <w:spacing w:line="400" w:lineRule="exact"/>
        <w:rPr>
          <w:rFonts w:hint="eastAsia" w:ascii="楷体" w:hAnsi="楷体" w:eastAsia="楷体"/>
          <w:color w:val="auto"/>
          <w:sz w:val="28"/>
          <w:szCs w:val="28"/>
        </w:rPr>
      </w:pPr>
      <w:r>
        <w:rPr>
          <w:rFonts w:hint="eastAsia" w:ascii="楷体" w:hAnsi="楷体" w:eastAsia="楷体"/>
          <w:color w:val="auto"/>
          <w:sz w:val="28"/>
          <w:szCs w:val="28"/>
        </w:rPr>
        <w:t>3.专利（5分封顶）</w:t>
      </w:r>
    </w:p>
    <w:p>
      <w:pPr>
        <w:spacing w:line="400" w:lineRule="exact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color w:val="auto"/>
          <w:sz w:val="28"/>
          <w:szCs w:val="28"/>
        </w:rPr>
        <w:t>发明专利：根据参加程度奖励3-5分/项（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排名第一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5分，排名第二4分，排名第三3分，三名以后不算分</w:t>
      </w:r>
      <w:r>
        <w:rPr>
          <w:rFonts w:hint="eastAsia" w:ascii="仿宋" w:hAnsi="仿宋" w:eastAsia="仿宋"/>
          <w:color w:val="auto"/>
          <w:sz w:val="28"/>
          <w:szCs w:val="28"/>
        </w:rPr>
        <w:t>）</w:t>
      </w:r>
    </w:p>
    <w:p>
      <w:pPr>
        <w:spacing w:line="400" w:lineRule="exact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color w:val="auto"/>
          <w:sz w:val="28"/>
          <w:szCs w:val="28"/>
        </w:rPr>
        <w:t>实用新型：根据参加程度奖励1-3分/项（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排名第一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3分，排名第二2分，排名第三1分，三名以后不算分</w:t>
      </w:r>
      <w:r>
        <w:rPr>
          <w:rFonts w:hint="eastAsia" w:ascii="仿宋" w:hAnsi="仿宋" w:eastAsia="仿宋"/>
          <w:color w:val="auto"/>
          <w:sz w:val="28"/>
          <w:szCs w:val="28"/>
        </w:rPr>
        <w:t>）</w:t>
      </w:r>
    </w:p>
    <w:p>
      <w:pPr>
        <w:spacing w:line="400" w:lineRule="exact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（3）软件著作：</w:t>
      </w:r>
      <w:r>
        <w:rPr>
          <w:rFonts w:hint="eastAsia" w:ascii="仿宋" w:hAnsi="仿宋" w:eastAsia="仿宋"/>
          <w:color w:val="auto"/>
          <w:sz w:val="28"/>
          <w:szCs w:val="28"/>
        </w:rPr>
        <w:t>根据参加程度奖励1-3分/项（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排名第一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3分，排名第二2分，排名第三1分，三名以后不算分</w:t>
      </w:r>
      <w:r>
        <w:rPr>
          <w:rFonts w:hint="eastAsia" w:ascii="仿宋" w:hAnsi="仿宋" w:eastAsia="仿宋"/>
          <w:color w:val="auto"/>
          <w:sz w:val="28"/>
          <w:szCs w:val="28"/>
        </w:rPr>
        <w:t>）</w:t>
      </w:r>
    </w:p>
    <w:p>
      <w:pPr>
        <w:spacing w:line="400" w:lineRule="exact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（4）外观设计专利：</w:t>
      </w:r>
      <w:r>
        <w:rPr>
          <w:rFonts w:hint="eastAsia" w:ascii="仿宋" w:hAnsi="仿宋" w:eastAsia="仿宋"/>
          <w:color w:val="auto"/>
          <w:sz w:val="28"/>
          <w:szCs w:val="28"/>
        </w:rPr>
        <w:t>根据参加程度奖励1-3分/项（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排名第一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3分，排名第二2分，排名第三1分，三名以后不算分</w:t>
      </w:r>
      <w:r>
        <w:rPr>
          <w:rFonts w:hint="eastAsia" w:ascii="仿宋" w:hAnsi="仿宋" w:eastAsia="仿宋"/>
          <w:color w:val="auto"/>
          <w:sz w:val="28"/>
          <w:szCs w:val="28"/>
        </w:rPr>
        <w:t>）</w:t>
      </w:r>
    </w:p>
    <w:p>
      <w:pPr>
        <w:spacing w:line="400" w:lineRule="exact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注：需为证书，《登记受理通知书》不加分</w:t>
      </w:r>
    </w:p>
    <w:p>
      <w:pPr>
        <w:spacing w:line="400" w:lineRule="exact"/>
        <w:rPr>
          <w:rFonts w:hint="eastAsia" w:ascii="楷体" w:hAnsi="楷体" w:eastAsia="楷体"/>
          <w:color w:val="auto"/>
          <w:sz w:val="28"/>
          <w:szCs w:val="28"/>
        </w:rPr>
      </w:pPr>
      <w:r>
        <w:rPr>
          <w:rFonts w:hint="eastAsia" w:ascii="楷体" w:hAnsi="楷体" w:eastAsia="楷体"/>
          <w:color w:val="auto"/>
          <w:sz w:val="28"/>
          <w:szCs w:val="28"/>
        </w:rPr>
        <w:t>4.发表论文（5分封顶）</w:t>
      </w:r>
    </w:p>
    <w:p>
      <w:pPr>
        <w:spacing w:line="400" w:lineRule="exact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color w:val="auto"/>
          <w:sz w:val="28"/>
          <w:szCs w:val="28"/>
        </w:rPr>
        <w:t>核心期刊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color w:val="auto"/>
          <w:sz w:val="28"/>
          <w:szCs w:val="28"/>
        </w:rPr>
        <w:t>根据参加程度奖励3-5分/项 （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排名第一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5分，排名第二4分，排名第三3分，三名以后不算分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）   </w:t>
      </w:r>
    </w:p>
    <w:p>
      <w:pPr>
        <w:spacing w:line="400" w:lineRule="exact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color w:val="auto"/>
          <w:sz w:val="28"/>
          <w:szCs w:val="28"/>
        </w:rPr>
        <w:t>省级期刊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color w:val="auto"/>
          <w:sz w:val="28"/>
          <w:szCs w:val="28"/>
        </w:rPr>
        <w:t>根据参加程度奖励1-3分/项（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排名第一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3分，排名第二2分，排名第三1分，三名以后不算分</w:t>
      </w:r>
      <w:r>
        <w:rPr>
          <w:rFonts w:hint="eastAsia" w:ascii="仿宋" w:hAnsi="仿宋" w:eastAsia="仿宋"/>
          <w:color w:val="auto"/>
          <w:sz w:val="28"/>
          <w:szCs w:val="28"/>
        </w:rPr>
        <w:t>）</w:t>
      </w:r>
    </w:p>
    <w:p>
      <w:pPr>
        <w:spacing w:line="400" w:lineRule="exact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注：论文需见刊，《录用通知》不加分</w:t>
      </w:r>
    </w:p>
    <w:p>
      <w:pPr>
        <w:spacing w:line="440" w:lineRule="exact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  <w:t>综合素质</w:t>
      </w:r>
    </w:p>
    <w:p>
      <w:pPr>
        <w:numPr>
          <w:ilvl w:val="0"/>
          <w:numId w:val="1"/>
        </w:numPr>
        <w:spacing w:line="440" w:lineRule="exact"/>
        <w:rPr>
          <w:rFonts w:hint="eastAsia" w:ascii="楷体" w:hAnsi="楷体" w:eastAsia="楷体" w:cs="楷体"/>
          <w:color w:val="auto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大学生全面发展考核</w:t>
      </w:r>
      <w:r>
        <w:rPr>
          <w:rFonts w:hint="eastAsia" w:ascii="楷体" w:hAnsi="楷体" w:eastAsia="楷体" w:cs="楷体"/>
          <w:color w:val="auto"/>
          <w:sz w:val="28"/>
          <w:szCs w:val="28"/>
        </w:rPr>
        <w:t xml:space="preserve">成绩为优秀   </w:t>
      </w:r>
    </w:p>
    <w:p>
      <w:pPr>
        <w:numPr>
          <w:ilvl w:val="0"/>
          <w:numId w:val="1"/>
        </w:numPr>
        <w:spacing w:line="440" w:lineRule="exact"/>
        <w:rPr>
          <w:rFonts w:hint="eastAsia" w:ascii="楷体" w:hAnsi="楷体" w:eastAsia="楷体" w:cs="楷体"/>
          <w:color w:val="auto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t>政治面貌为中共党员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分</w:t>
      </w:r>
    </w:p>
    <w:p>
      <w:pPr>
        <w:numPr>
          <w:ilvl w:val="0"/>
          <w:numId w:val="1"/>
        </w:numPr>
        <w:spacing w:line="440" w:lineRule="exact"/>
        <w:rPr>
          <w:rFonts w:hint="eastAsia" w:ascii="楷体" w:hAnsi="楷体" w:eastAsia="楷体" w:cs="楷体"/>
          <w:color w:val="auto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t>政府颁发的荣誉称号</w:t>
      </w:r>
    </w:p>
    <w:p>
      <w:pPr>
        <w:spacing w:line="400" w:lineRule="exact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color w:val="auto"/>
          <w:sz w:val="28"/>
          <w:szCs w:val="28"/>
        </w:rPr>
        <w:t>国家级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5分/次  </w:t>
      </w:r>
    </w:p>
    <w:p>
      <w:pPr>
        <w:spacing w:line="400" w:lineRule="exact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color w:val="auto"/>
          <w:sz w:val="28"/>
          <w:szCs w:val="28"/>
        </w:rPr>
        <w:t>省级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4分/次 </w:t>
      </w:r>
    </w:p>
    <w:p>
      <w:pPr>
        <w:spacing w:line="400" w:lineRule="exact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color w:val="auto"/>
          <w:sz w:val="28"/>
          <w:szCs w:val="28"/>
        </w:rPr>
        <w:t>市级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color w:val="auto"/>
          <w:sz w:val="28"/>
          <w:szCs w:val="28"/>
        </w:rPr>
        <w:t>3分/次</w:t>
      </w:r>
    </w:p>
    <w:p>
      <w:pPr>
        <w:numPr>
          <w:ilvl w:val="0"/>
          <w:numId w:val="0"/>
        </w:numPr>
        <w:spacing w:line="440" w:lineRule="exact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color w:val="auto"/>
          <w:sz w:val="28"/>
          <w:szCs w:val="28"/>
        </w:rPr>
        <w:t>校级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color w:val="auto"/>
          <w:sz w:val="28"/>
          <w:szCs w:val="28"/>
        </w:rPr>
        <w:t>1分/次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（只计算</w:t>
      </w:r>
      <w:r>
        <w:rPr>
          <w:rFonts w:hint="eastAsia" w:ascii="仿宋" w:hAnsi="仿宋" w:eastAsia="仿宋"/>
          <w:color w:val="auto"/>
          <w:sz w:val="28"/>
          <w:szCs w:val="28"/>
        </w:rPr>
        <w:t>优干、三好、优团干、优团员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）</w:t>
      </w:r>
    </w:p>
    <w:p>
      <w:pPr>
        <w:spacing w:line="400" w:lineRule="exact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注：以上指</w:t>
      </w:r>
      <w:r>
        <w:rPr>
          <w:rFonts w:hint="eastAsia" w:ascii="仿宋" w:hAnsi="仿宋" w:eastAsia="仿宋"/>
          <w:color w:val="auto"/>
          <w:sz w:val="28"/>
          <w:szCs w:val="28"/>
        </w:rPr>
        <w:t>政府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颁发的</w:t>
      </w:r>
      <w:r>
        <w:rPr>
          <w:rFonts w:hint="eastAsia" w:ascii="仿宋" w:hAnsi="仿宋" w:eastAsia="仿宋" w:cs="Times New Roman"/>
          <w:color w:val="auto"/>
          <w:sz w:val="28"/>
          <w:szCs w:val="28"/>
          <w:lang w:eastAsia="zh-CN"/>
        </w:rPr>
        <w:t>荣誉称号，协会颁发的得分减半。</w:t>
      </w:r>
      <w:r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  <w:t>同一学年</w:t>
      </w:r>
      <w:r>
        <w:rPr>
          <w:rFonts w:hint="eastAsia" w:ascii="仿宋" w:hAnsi="仿宋" w:eastAsia="仿宋" w:cs="Times New Roman"/>
          <w:color w:val="auto"/>
          <w:sz w:val="28"/>
          <w:szCs w:val="28"/>
          <w:lang w:eastAsia="zh-CN"/>
        </w:rPr>
        <w:t>同</w:t>
      </w:r>
      <w:r>
        <w:rPr>
          <w:rFonts w:hint="eastAsia" w:ascii="仿宋" w:hAnsi="仿宋" w:eastAsia="仿宋"/>
          <w:color w:val="auto"/>
          <w:sz w:val="28"/>
          <w:szCs w:val="28"/>
        </w:rPr>
        <w:t>一荣誉称号不重复计算，只算最高档次。</w:t>
      </w:r>
    </w:p>
    <w:p>
      <w:pPr>
        <w:numPr>
          <w:ilvl w:val="0"/>
          <w:numId w:val="1"/>
        </w:numPr>
        <w:spacing w:line="400" w:lineRule="exact"/>
        <w:ind w:left="0" w:leftChars="0" w:firstLine="0" w:firstLineChars="0"/>
        <w:rPr>
          <w:rFonts w:hint="eastAsia" w:ascii="楷体" w:hAnsi="楷体" w:eastAsia="楷体"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楷体"/>
          <w:color w:val="auto"/>
          <w:sz w:val="28"/>
          <w:szCs w:val="28"/>
        </w:rPr>
        <w:t>担任</w:t>
      </w:r>
      <w:r>
        <w:rPr>
          <w:rFonts w:hint="eastAsia" w:ascii="楷体" w:hAnsi="楷体" w:eastAsia="楷体"/>
          <w:color w:val="auto"/>
          <w:sz w:val="28"/>
          <w:szCs w:val="28"/>
          <w:lang w:eastAsia="zh-CN"/>
        </w:rPr>
        <w:t>职务</w:t>
      </w:r>
    </w:p>
    <w:p>
      <w:pPr>
        <w:spacing w:line="400" w:lineRule="exact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color w:val="auto"/>
          <w:sz w:val="28"/>
          <w:szCs w:val="28"/>
        </w:rPr>
        <w:t>校级学生组织主席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5分   </w:t>
      </w:r>
    </w:p>
    <w:p>
      <w:pPr>
        <w:spacing w:line="400" w:lineRule="exact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color w:val="auto"/>
          <w:sz w:val="28"/>
          <w:szCs w:val="28"/>
        </w:rPr>
        <w:t>校级学生组织副主席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 4分</w:t>
      </w:r>
    </w:p>
    <w:p>
      <w:pPr>
        <w:spacing w:line="400" w:lineRule="exact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color w:val="auto"/>
          <w:sz w:val="28"/>
          <w:szCs w:val="28"/>
        </w:rPr>
        <w:t>校级学生组织各部门部长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3分 </w:t>
      </w:r>
    </w:p>
    <w:p>
      <w:pPr>
        <w:spacing w:line="400" w:lineRule="exact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color w:val="auto"/>
          <w:sz w:val="28"/>
          <w:szCs w:val="28"/>
        </w:rPr>
        <w:t>校级社团、协会负责人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color w:val="auto"/>
          <w:sz w:val="28"/>
          <w:szCs w:val="28"/>
        </w:rPr>
        <w:t>3分</w:t>
      </w:r>
    </w:p>
    <w:p>
      <w:pPr>
        <w:spacing w:line="400" w:lineRule="exact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）院级</w:t>
      </w:r>
      <w:r>
        <w:rPr>
          <w:rFonts w:hint="eastAsia" w:ascii="仿宋" w:hAnsi="仿宋" w:eastAsia="仿宋"/>
          <w:color w:val="auto"/>
          <w:sz w:val="28"/>
          <w:szCs w:val="28"/>
        </w:rPr>
        <w:t>学生会主席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4分  </w:t>
      </w:r>
    </w:p>
    <w:p>
      <w:pPr>
        <w:spacing w:line="400" w:lineRule="exact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）院级</w:t>
      </w:r>
      <w:r>
        <w:rPr>
          <w:rFonts w:hint="eastAsia" w:ascii="仿宋" w:hAnsi="仿宋" w:eastAsia="仿宋"/>
          <w:color w:val="auto"/>
          <w:sz w:val="28"/>
          <w:szCs w:val="28"/>
        </w:rPr>
        <w:t>学生会副主席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color w:val="auto"/>
          <w:sz w:val="28"/>
          <w:szCs w:val="28"/>
        </w:rPr>
        <w:t>3分</w:t>
      </w:r>
    </w:p>
    <w:p>
      <w:pPr>
        <w:spacing w:line="400" w:lineRule="exact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）院级</w:t>
      </w:r>
      <w:r>
        <w:rPr>
          <w:rFonts w:hint="eastAsia" w:ascii="仿宋" w:hAnsi="仿宋" w:eastAsia="仿宋"/>
          <w:color w:val="auto"/>
          <w:sz w:val="28"/>
          <w:szCs w:val="28"/>
        </w:rPr>
        <w:t>学生会各部门部长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2分    </w:t>
      </w:r>
    </w:p>
    <w:p>
      <w:pPr>
        <w:spacing w:line="400" w:lineRule="exact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）院级</w:t>
      </w:r>
      <w:r>
        <w:rPr>
          <w:rFonts w:hint="eastAsia" w:ascii="仿宋" w:hAnsi="仿宋" w:eastAsia="仿宋"/>
          <w:color w:val="auto"/>
          <w:sz w:val="28"/>
          <w:szCs w:val="28"/>
        </w:rPr>
        <w:t>社团、协会负责人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color w:val="auto"/>
          <w:sz w:val="28"/>
          <w:szCs w:val="28"/>
        </w:rPr>
        <w:t>2分</w:t>
      </w:r>
    </w:p>
    <w:p>
      <w:pPr>
        <w:spacing w:line="400" w:lineRule="exact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color w:val="auto"/>
          <w:sz w:val="28"/>
          <w:szCs w:val="28"/>
        </w:rPr>
        <w:t>班干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2分 </w:t>
      </w:r>
    </w:p>
    <w:p>
      <w:pPr>
        <w:spacing w:line="400" w:lineRule="exact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color w:val="auto"/>
          <w:sz w:val="28"/>
          <w:szCs w:val="28"/>
        </w:rPr>
        <w:t>宿舍长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1分   </w:t>
      </w:r>
    </w:p>
    <w:p>
      <w:pPr>
        <w:spacing w:line="400" w:lineRule="exact"/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心理委员：1分</w:t>
      </w:r>
    </w:p>
    <w:p>
      <w:pPr>
        <w:spacing w:line="440" w:lineRule="exact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注：</w:t>
      </w:r>
      <w:r>
        <w:rPr>
          <w:rFonts w:hint="eastAsia" w:ascii="仿宋" w:hAnsi="仿宋" w:eastAsia="仿宋"/>
          <w:color w:val="auto"/>
          <w:sz w:val="28"/>
          <w:szCs w:val="28"/>
        </w:rPr>
        <w:t>担任多个职务不重复计算，按最高职务计算</w:t>
      </w:r>
    </w:p>
    <w:p>
      <w:pPr>
        <w:spacing w:line="400" w:lineRule="exact"/>
        <w:rPr>
          <w:rFonts w:hint="eastAsia" w:ascii="黑体" w:hAnsi="黑体" w:eastAsia="黑体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三、就业、升学情况</w:t>
      </w:r>
    </w:p>
    <w:p>
      <w:pPr>
        <w:spacing w:line="400" w:lineRule="exact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已就业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2分 </w:t>
      </w: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注：</w:t>
      </w:r>
      <w:r>
        <w:rPr>
          <w:rFonts w:hint="eastAsia" w:ascii="仿宋" w:hAnsi="仿宋" w:eastAsia="仿宋"/>
          <w:color w:val="auto"/>
          <w:sz w:val="28"/>
          <w:szCs w:val="28"/>
        </w:rPr>
        <w:t>包含签订就业协议、创业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企业法人或公司控股方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color w:val="auto"/>
          <w:sz w:val="28"/>
          <w:szCs w:val="28"/>
        </w:rPr>
        <w:t>、专转本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被录取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3种情况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    </w:t>
      </w:r>
    </w:p>
    <w:p>
      <w:pPr>
        <w:spacing w:line="440" w:lineRule="exact"/>
        <w:rPr>
          <w:rFonts w:hint="eastAsia" w:ascii="仿宋" w:hAnsi="仿宋" w:eastAsia="仿宋"/>
          <w:color w:val="auto"/>
          <w:sz w:val="28"/>
          <w:szCs w:val="28"/>
        </w:rPr>
      </w:pPr>
    </w:p>
    <w:p>
      <w:pPr>
        <w:rPr>
          <w:color w:val="auto"/>
        </w:rPr>
      </w:pPr>
    </w:p>
    <w:sectPr>
      <w:headerReference r:id="rId3" w:type="default"/>
      <w:pgSz w:w="11906" w:h="16838"/>
      <w:pgMar w:top="1402" w:right="1797" w:bottom="1402" w:left="1797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EABF5D"/>
    <w:multiLevelType w:val="singleLevel"/>
    <w:tmpl w:val="91EABF5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xMjhkN2Y4ZDhmM2NiOTlmMzkwZTc0ZWNkN2U5YmQifQ=="/>
  </w:docVars>
  <w:rsids>
    <w:rsidRoot w:val="1DBA6C77"/>
    <w:rsid w:val="04A076C1"/>
    <w:rsid w:val="1DBA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950</Words>
  <Characters>966</Characters>
  <Lines>0</Lines>
  <Paragraphs>0</Paragraphs>
  <TotalTime>0</TotalTime>
  <ScaleCrop>false</ScaleCrop>
  <LinksUpToDate>false</LinksUpToDate>
  <CharactersWithSpaces>1027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2022-05-01T08:16:00Z</dcterms:created>
  <dc:creator>Miss.S</dc:creator>
  <cp:lastModifiedBy>Miss.S</cp:lastModifiedBy>
  <dcterms:modified xsi:type="dcterms:W3CDTF">2022-05-01T08:19:29Z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733EAEEA4ECB48CAB3239210C0AB8079</vt:lpwstr>
  </property>
</Properties>
</file>